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3C" w:rsidRPr="00E016C8" w:rsidRDefault="00F10F3C" w:rsidP="00F10F3C"/>
    <w:p w:rsidR="00F10F3C" w:rsidRPr="00E016C8" w:rsidRDefault="00F10F3C" w:rsidP="00F10F3C">
      <w:r w:rsidRPr="00E016C8">
        <w:rPr>
          <w:b/>
        </w:rPr>
        <w:t xml:space="preserve">Shtojca 5: </w:t>
      </w:r>
      <w:r w:rsidRPr="00E016C8">
        <w:t>Formulari i Identifikimit të Projektit</w:t>
      </w:r>
    </w:p>
    <w:p w:rsidR="00F10F3C" w:rsidRPr="00E016C8" w:rsidRDefault="00F10F3C" w:rsidP="00F10F3C">
      <w:pPr>
        <w:rPr>
          <w:b/>
        </w:rPr>
      </w:pPr>
      <w:bookmarkStart w:id="0" w:name="_GoBack"/>
      <w:bookmarkEnd w:id="0"/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Të dhëna të përgjithshme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4500"/>
      </w:tblGrid>
      <w:tr w:rsidR="00F10F3C" w:rsidRPr="00E016C8" w:rsidTr="00BB5D8B">
        <w:trPr>
          <w:trHeight w:val="233"/>
        </w:trPr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>Aplikuesi/t:</w:t>
            </w:r>
          </w:p>
        </w:tc>
        <w:tc>
          <w:tcPr>
            <w:tcW w:w="4500" w:type="dxa"/>
          </w:tcPr>
          <w:p w:rsidR="00F10F3C" w:rsidRPr="00E016C8" w:rsidRDefault="00A34242" w:rsidP="00BB5D8B">
            <w:pPr>
              <w:spacing w:after="0" w:line="240" w:lineRule="auto"/>
            </w:pPr>
            <w:r>
              <w:t>Komuna Bushat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Personi/at e kontaktit: </w:t>
            </w:r>
          </w:p>
        </w:tc>
        <w:tc>
          <w:tcPr>
            <w:tcW w:w="4500" w:type="dxa"/>
          </w:tcPr>
          <w:p w:rsidR="00F10F3C" w:rsidRPr="00E016C8" w:rsidRDefault="00A34242" w:rsidP="00BB5D8B">
            <w:pPr>
              <w:spacing w:after="0" w:line="240" w:lineRule="auto"/>
            </w:pPr>
            <w:r>
              <w:t>Shefki G</w:t>
            </w:r>
            <w:r w:rsidR="006F2F07">
              <w:t>ë</w:t>
            </w:r>
            <w:r>
              <w:t>rbeti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>Titulli i Projektit:</w:t>
            </w:r>
          </w:p>
        </w:tc>
        <w:tc>
          <w:tcPr>
            <w:tcW w:w="4500" w:type="dxa"/>
          </w:tcPr>
          <w:p w:rsidR="00F10F3C" w:rsidRPr="00E016C8" w:rsidRDefault="00CE3EE3" w:rsidP="00BB5D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Ndertim Kop</w:t>
            </w:r>
            <w:r w:rsidR="0077488B">
              <w:rPr>
                <w:i/>
              </w:rPr>
              <w:t>shti ne Bushat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Vendndodhja: </w:t>
            </w:r>
          </w:p>
        </w:tc>
        <w:tc>
          <w:tcPr>
            <w:tcW w:w="4500" w:type="dxa"/>
          </w:tcPr>
          <w:p w:rsidR="00F10F3C" w:rsidRPr="00E016C8" w:rsidRDefault="00A34242" w:rsidP="00BB5D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Komuna Bushat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>Buxheti i kërkuar</w:t>
            </w:r>
          </w:p>
        </w:tc>
        <w:tc>
          <w:tcPr>
            <w:tcW w:w="4500" w:type="dxa"/>
          </w:tcPr>
          <w:p w:rsidR="00F10F3C" w:rsidRPr="00E016C8" w:rsidRDefault="00A34242" w:rsidP="00BB5D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35 000 mij</w:t>
            </w:r>
            <w:r w:rsidR="006F2F07">
              <w:rPr>
                <w:i/>
              </w:rPr>
              <w:t>ë</w:t>
            </w:r>
            <w:r>
              <w:rPr>
                <w:i/>
              </w:rPr>
              <w:t xml:space="preserve"> lek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Kodi i Projektit në strategjinë vendore ose rajonale: </w:t>
            </w:r>
          </w:p>
        </w:tc>
        <w:tc>
          <w:tcPr>
            <w:tcW w:w="4500" w:type="dxa"/>
          </w:tcPr>
          <w:p w:rsidR="00F10F3C" w:rsidRPr="00E016C8" w:rsidRDefault="00A34242" w:rsidP="00BB5D8B">
            <w:pPr>
              <w:spacing w:after="0" w:line="240" w:lineRule="auto"/>
              <w:rPr>
                <w:i/>
              </w:rPr>
            </w:pPr>
            <w:r w:rsidRPr="00A34242">
              <w:rPr>
                <w:i/>
              </w:rPr>
              <w:t>Q3O1P00010140p3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2370CE" w:rsidRDefault="00F10F3C" w:rsidP="00BB5D8B">
            <w:pPr>
              <w:spacing w:after="0" w:line="240" w:lineRule="auto"/>
              <w:rPr>
                <w:b/>
                <w:i/>
              </w:rPr>
            </w:pPr>
            <w:r w:rsidRPr="002370CE">
              <w:rPr>
                <w:b/>
                <w:i/>
              </w:rPr>
              <w:t xml:space="preserve">Data e dorëzimit: </w:t>
            </w:r>
          </w:p>
        </w:tc>
        <w:tc>
          <w:tcPr>
            <w:tcW w:w="4500" w:type="dxa"/>
          </w:tcPr>
          <w:p w:rsidR="00F10F3C" w:rsidRPr="002370CE" w:rsidRDefault="00A34242" w:rsidP="00BB5D8B">
            <w:pPr>
              <w:spacing w:after="0" w:line="240" w:lineRule="auto"/>
            </w:pPr>
            <w:r w:rsidRPr="002370CE">
              <w:t>2012</w:t>
            </w:r>
          </w:p>
        </w:tc>
      </w:tr>
      <w:tr w:rsidR="00F10F3C" w:rsidRPr="00E016C8" w:rsidTr="00BB5D8B">
        <w:tc>
          <w:tcPr>
            <w:tcW w:w="4968" w:type="dxa"/>
          </w:tcPr>
          <w:p w:rsidR="00F10F3C" w:rsidRPr="002370CE" w:rsidRDefault="00F10F3C" w:rsidP="00BB5D8B">
            <w:pPr>
              <w:spacing w:after="0" w:line="240" w:lineRule="auto"/>
              <w:rPr>
                <w:b/>
                <w:i/>
              </w:rPr>
            </w:pPr>
            <w:r w:rsidRPr="002370CE">
              <w:rPr>
                <w:b/>
                <w:i/>
              </w:rPr>
              <w:t xml:space="preserve">Numri i Projektit: </w:t>
            </w:r>
          </w:p>
        </w:tc>
        <w:tc>
          <w:tcPr>
            <w:tcW w:w="4500" w:type="dxa"/>
          </w:tcPr>
          <w:p w:rsidR="00F10F3C" w:rsidRPr="002370CE" w:rsidRDefault="00A34242" w:rsidP="00BB5D8B">
            <w:pPr>
              <w:spacing w:after="0" w:line="240" w:lineRule="auto"/>
            </w:pPr>
            <w:r w:rsidRPr="002370CE">
              <w:t>2</w:t>
            </w:r>
          </w:p>
        </w:tc>
      </w:tr>
    </w:tbl>
    <w:p w:rsidR="00F10F3C" w:rsidRPr="00E016C8" w:rsidRDefault="00F10F3C" w:rsidP="00F10F3C">
      <w:pPr>
        <w:pStyle w:val="ListParagraph"/>
        <w:ind w:left="360"/>
        <w:jc w:val="both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jc w:val="both"/>
        <w:rPr>
          <w:b/>
        </w:rPr>
      </w:pPr>
      <w:r w:rsidRPr="00E016C8">
        <w:rPr>
          <w:b/>
        </w:rPr>
        <w:t xml:space="preserve">Një përmbledhje e idesë së projektit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953"/>
        </w:trPr>
        <w:tc>
          <w:tcPr>
            <w:tcW w:w="9576" w:type="dxa"/>
          </w:tcPr>
          <w:p w:rsidR="0018798D" w:rsidRDefault="00F10F3C" w:rsidP="0018798D">
            <w:pPr>
              <w:spacing w:after="0" w:line="240" w:lineRule="auto"/>
            </w:pPr>
            <w:r w:rsidRPr="00E016C8">
              <w:t xml:space="preserve"> </w:t>
            </w:r>
            <w:r w:rsidR="0018798D">
              <w:t xml:space="preserve">Arsimi parashkollor është hallka e parë e sistemit tonë arsimor parauniversitar, edhe pse jo pjesë e detyrueshme e tij. </w:t>
            </w:r>
            <w:r w:rsidR="000B4A70">
              <w:t>Realizimi i projektit synon investi</w:t>
            </w:r>
            <w:r w:rsidR="0018798D">
              <w:t>m te metejshem ne fushen e eduki</w:t>
            </w:r>
            <w:r w:rsidR="000B4A70">
              <w:t>mit. Ndertimi i kopeshtit ne Bushat si zonë e cila ka edhe numrin më të lartë të banorëve në Komunë, do tu sherbeje rreth 50 femijeve.</w:t>
            </w:r>
            <w:r w:rsidR="0018798D">
              <w:t xml:space="preserve"> Është një nga projektet kryesore të identifikuara në Planin Strategjik të Zhvillimit Vendor të Komunës sonë si dhe është një prej investimeve të trajtuara edhe në Programin Buxhetor Afatmesëm. </w:t>
            </w:r>
            <w:r w:rsidR="002A582B">
              <w:t>Projekti i   i Komunes Bushat do te përfshije</w:t>
            </w:r>
            <w:r w:rsidR="0018798D">
              <w:t xml:space="preserve"> të gjithë fëmijët 5-6 vjeçarënë kopshtet apo në klasat</w:t>
            </w:r>
            <w:r w:rsidR="002A582B">
              <w:t xml:space="preserve"> parapërgatitore pranë shkolles </w:t>
            </w:r>
            <w:r w:rsidR="0018798D">
              <w:t xml:space="preserve"> 9-vjeçare</w:t>
            </w:r>
            <w:r w:rsidR="002A582B">
              <w:t xml:space="preserve"> “GJon Ndoci”, Bushat</w:t>
            </w:r>
            <w:r w:rsidR="0018798D">
              <w:t>. Kjo është një përpjekje e madhe, që</w:t>
            </w:r>
          </w:p>
          <w:p w:rsidR="00F10F3C" w:rsidRPr="00E016C8" w:rsidRDefault="002A582B" w:rsidP="0018798D">
            <w:pPr>
              <w:spacing w:after="0" w:line="240" w:lineRule="auto"/>
            </w:pPr>
            <w:r>
              <w:t xml:space="preserve">synon t'u garantojë shanse të </w:t>
            </w:r>
            <w:r w:rsidR="0018798D">
              <w:t>barabarta</w:t>
            </w:r>
            <w:r>
              <w:t xml:space="preserve"> dhe mjedise bashkekohore </w:t>
            </w:r>
            <w:r w:rsidR="0018798D">
              <w:t xml:space="preserve"> të gjithë fëmijëve</w:t>
            </w:r>
            <w:r>
              <w:t xml:space="preserve"> te kesaj zone</w:t>
            </w:r>
            <w:r w:rsidR="0018798D">
              <w:t xml:space="preserve"> për të vijuar suksesshëm më tej shkollën.</w:t>
            </w:r>
          </w:p>
          <w:p w:rsidR="00F10F3C" w:rsidRPr="00E016C8" w:rsidRDefault="00F10F3C" w:rsidP="00BB5D8B">
            <w:pPr>
              <w:spacing w:after="0" w:line="240" w:lineRule="auto"/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</w:pPr>
      <w:r w:rsidRPr="00E016C8">
        <w:rPr>
          <w:b/>
        </w:rPr>
        <w:t xml:space="preserve">Analiza e Situatës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8"/>
      </w:tblGrid>
      <w:tr w:rsidR="00F10F3C" w:rsidRPr="00E016C8" w:rsidTr="00BB5D8B">
        <w:trPr>
          <w:trHeight w:val="1043"/>
        </w:trPr>
        <w:tc>
          <w:tcPr>
            <w:tcW w:w="9558" w:type="dxa"/>
          </w:tcPr>
          <w:p w:rsidR="006B5781" w:rsidRDefault="00F10F3C" w:rsidP="00A34242">
            <w:pPr>
              <w:spacing w:after="0" w:line="240" w:lineRule="auto"/>
              <w:jc w:val="both"/>
            </w:pPr>
            <w:r w:rsidRPr="00E016C8">
              <w:rPr>
                <w:i/>
              </w:rPr>
              <w:t xml:space="preserve"> </w:t>
            </w:r>
            <w:r w:rsidR="000B4A70">
              <w:rPr>
                <w:i/>
              </w:rPr>
              <w:t>Ndertimi i kopeshtit ne Bushat vjen si nje nevoje imediate ne sherbim te femijeve te ketij komuniteti</w:t>
            </w:r>
            <w:r w:rsidR="001C7730">
              <w:rPr>
                <w:i/>
              </w:rPr>
              <w:t xml:space="preserve">. Aktualisht si kopesht sherbejne mjediset e shkolles se mesme te bashkuar Gjon Ndoci, Bushat. Keto mjedise nuk kane kushtet e pershatshme  per tu ofruar sherbim edukativ te gjithe femijeve duke qene se si kopesht sherbejne vetem dy klasa me nje siperfaqe relativisht te vogel , </w:t>
            </w:r>
            <w:r w:rsidR="006B5781">
              <w:rPr>
                <w:i/>
              </w:rPr>
              <w:t>dhe me mungese te bazes matreiale.</w:t>
            </w:r>
            <w:r w:rsidR="006B5781" w:rsidRPr="00FD04F5">
              <w:t xml:space="preserve"> </w:t>
            </w:r>
            <w:r w:rsidR="006B5781">
              <w:t xml:space="preserve">Ndertimi i ketij kopeshti </w:t>
            </w:r>
            <w:r w:rsidR="006B5781" w:rsidRPr="00FD04F5">
              <w:t>mbetet një nga prioritetet kryesore për tu realizuar dhe për të cilin nuk janë kryer investime vitet e fundit</w:t>
            </w:r>
            <w:r w:rsidR="006B5781">
              <w:t xml:space="preserve">. Tashmë synojme te jemi në fazën e sigurimit të cilësisë në kopsht. Kjo është një rrugë e gjatë, plot sfida per te shndërruar kopshtin në një mjedis të dashur e tërheqës që ofron një shërbim cilësor për fëmijët. Inspektimi dhe vlerësimi  i ndertimit  te kopshtit  kanë si qëllim themelor, përmirësimin dhe rritjen e cilësisë së sherbimit te </w:t>
            </w:r>
            <w:r w:rsidR="00921677">
              <w:t>arsimit parashkollor nepermjet permiresimit te infrastruktures</w:t>
            </w:r>
            <w:r w:rsidR="006B5781">
              <w:t>.</w:t>
            </w:r>
            <w:r w:rsidR="006913E9">
              <w:t xml:space="preserve"> Mungesa e kushteve te pershtashtme  ka detyruar qe nje pjese e mire e</w:t>
            </w:r>
            <w:r w:rsidR="00D54B10">
              <w:t xml:space="preserve"> </w:t>
            </w:r>
            <w:r w:rsidR="006913E9">
              <w:t>familjeve te kesaj zone ti dergojne femijet e tyre ne kopshtet private qe ndodhen ne qytetin e Shkodres, qe ndodhet ne nje distance prej 14 km. Nje pjese relativisht e konsiderushme e familjeve te Bushatit nuk kane as mundesite financiare qe ti dergojne femijet e tyre ne keto kopshte, duke i mbajtur ato ne shtepi.</w:t>
            </w:r>
          </w:p>
          <w:p w:rsidR="00F10F3C" w:rsidRPr="00E016C8" w:rsidRDefault="00F10F3C" w:rsidP="00BB5D8B">
            <w:pPr>
              <w:spacing w:after="0" w:line="240" w:lineRule="auto"/>
              <w:rPr>
                <w:i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i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i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</w:p>
        </w:tc>
      </w:tr>
    </w:tbl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F3775">
        <w:rPr>
          <w:b/>
        </w:rPr>
        <w:lastRenderedPageBreak/>
        <w:t>Analiza e aktorëve; Grupet në fokus dhe përfituesit</w:t>
      </w:r>
      <w:r w:rsidRPr="00E016C8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1007"/>
        </w:trPr>
        <w:tc>
          <w:tcPr>
            <w:tcW w:w="9576" w:type="dxa"/>
          </w:tcPr>
          <w:p w:rsidR="00F10F3C" w:rsidRDefault="0016231E" w:rsidP="00BB5D8B">
            <w:pPr>
              <w:spacing w:after="0" w:line="240" w:lineRule="auto"/>
              <w:jc w:val="both"/>
            </w:pPr>
            <w:r>
              <w:t>Perfitues te dreperdrejte te ketij investimi jane : Femijet e Komunes Bushat te cilet do te kene mundesi te edukohen ne ambiente me nje infrastrukture bashkekohore.</w:t>
            </w:r>
          </w:p>
          <w:p w:rsidR="0016231E" w:rsidRDefault="0016231E" w:rsidP="00BB5D8B">
            <w:pPr>
              <w:spacing w:after="0" w:line="240" w:lineRule="auto"/>
              <w:jc w:val="both"/>
            </w:pPr>
            <w:r>
              <w:t xml:space="preserve"> </w:t>
            </w:r>
          </w:p>
          <w:p w:rsidR="0016231E" w:rsidRPr="00E016C8" w:rsidRDefault="0016231E" w:rsidP="00BB5D8B">
            <w:pPr>
              <w:spacing w:after="0" w:line="240" w:lineRule="auto"/>
              <w:jc w:val="both"/>
            </w:pPr>
            <w:r>
              <w:t xml:space="preserve">Perfitues indirekte: Familjet e ketij komuniteti te cilet do te keni mundesine te dergojne femijet e tyre ne kopesht me nje distance te vogel dhe pa kosto. </w:t>
            </w:r>
          </w:p>
          <w:p w:rsidR="00F10F3C" w:rsidRPr="00E016C8" w:rsidRDefault="00F10F3C" w:rsidP="00BB5D8B">
            <w:pPr>
              <w:spacing w:after="0" w:line="240" w:lineRule="auto"/>
              <w:jc w:val="both"/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Objektivat e përgjithsh</w:t>
      </w:r>
      <w:r w:rsidRPr="00E016C8">
        <w:rPr>
          <w:rFonts w:cs="Calibri"/>
          <w:b/>
        </w:rPr>
        <w:t>ё</w:t>
      </w:r>
      <w:r w:rsidRPr="00E016C8">
        <w:rPr>
          <w:b/>
        </w:rPr>
        <w:t>m dhe objektivat specifik</w:t>
      </w:r>
      <w:r w:rsidRPr="00E016C8">
        <w:rPr>
          <w:rFonts w:cs="Calibri"/>
          <w:b/>
        </w:rPr>
        <w:t>ё</w:t>
      </w:r>
      <w:r w:rsidRPr="00E016C8">
        <w:rPr>
          <w:b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8"/>
      </w:tblGrid>
      <w:tr w:rsidR="00F10F3C" w:rsidRPr="00E016C8" w:rsidTr="00BB5D8B">
        <w:trPr>
          <w:trHeight w:val="1187"/>
        </w:trPr>
        <w:tc>
          <w:tcPr>
            <w:tcW w:w="9558" w:type="dxa"/>
          </w:tcPr>
          <w:p w:rsidR="0016231E" w:rsidRDefault="0016231E" w:rsidP="0016231E">
            <w:pPr>
              <w:autoSpaceDE w:val="0"/>
              <w:autoSpaceDN w:val="0"/>
              <w:adjustRightInd w:val="0"/>
              <w:jc w:val="both"/>
            </w:pPr>
            <w:r>
              <w:t xml:space="preserve">Objektivat e përgjithshëm dhe specifik janë në përputhje me objektivat strategjik të Komunës dhe me objektivat që do të duhet të arrihen brenda periudhës afatmesme-afatgjatë. </w:t>
            </w:r>
          </w:p>
          <w:p w:rsidR="00F10F3C" w:rsidRPr="0016231E" w:rsidRDefault="0016231E" w:rsidP="00BB5D8B">
            <w:pPr>
              <w:spacing w:after="0" w:line="240" w:lineRule="auto"/>
            </w:pPr>
            <w:r w:rsidRPr="00E25C01">
              <w:rPr>
                <w:b/>
              </w:rPr>
              <w:t>Objektivi kryesor është:</w:t>
            </w:r>
            <w:r>
              <w:rPr>
                <w:b/>
              </w:rPr>
              <w:t xml:space="preserve"> </w:t>
            </w:r>
            <w:r w:rsidRPr="0016231E">
              <w:t>permiresimi i infrastruktures se ambjenteve te edukumi</w:t>
            </w:r>
            <w:r w:rsidR="00717763">
              <w:t>t</w:t>
            </w:r>
            <w:r w:rsidRPr="0016231E">
              <w:t xml:space="preserve"> te femijeve te sistemit parashkollor te Bushatit.</w:t>
            </w:r>
          </w:p>
          <w:p w:rsidR="0016231E" w:rsidRDefault="0016231E" w:rsidP="001623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5C01">
              <w:rPr>
                <w:b/>
              </w:rPr>
              <w:t xml:space="preserve">Objektivat specifik: </w:t>
            </w:r>
          </w:p>
          <w:p w:rsidR="0016231E" w:rsidRDefault="00717763" w:rsidP="001623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Permiresim i infrastruktures se institucioneve te arsimit parashkollor</w:t>
            </w:r>
          </w:p>
          <w:p w:rsidR="00F10F3C" w:rsidRPr="00E016C8" w:rsidRDefault="00717763" w:rsidP="00A342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Rritje e cilesise se sherbimit edukativ dhe pa kosto.</w:t>
            </w:r>
          </w:p>
        </w:tc>
      </w:tr>
    </w:tbl>
    <w:p w:rsidR="00F10F3C" w:rsidRPr="00E016C8" w:rsidRDefault="00F10F3C" w:rsidP="00F10F3C">
      <w:pPr>
        <w:ind w:left="36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Rezultatet e pritshme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2904"/>
        </w:trPr>
        <w:tc>
          <w:tcPr>
            <w:tcW w:w="9591" w:type="dxa"/>
          </w:tcPr>
          <w:p w:rsidR="00F10F3C" w:rsidRPr="00E016C8" w:rsidRDefault="00F10F3C" w:rsidP="00BB5D8B">
            <w:pPr>
              <w:spacing w:after="0" w:line="240" w:lineRule="auto"/>
              <w:jc w:val="both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67"/>
              <w:gridCol w:w="2782"/>
              <w:gridCol w:w="2741"/>
            </w:tblGrid>
            <w:tr w:rsidR="00F10F3C" w:rsidRPr="00E016C8" w:rsidTr="00BB5D8B">
              <w:trPr>
                <w:trHeight w:val="548"/>
              </w:trPr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BB5D8B">
                  <w:pPr>
                    <w:jc w:val="both"/>
                  </w:pPr>
                  <w:r w:rsidRPr="00E016C8">
                    <w:t>Rezultatet</w:t>
                  </w:r>
                </w:p>
              </w:tc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BB5D8B">
                  <w:pPr>
                    <w:jc w:val="both"/>
                  </w:pPr>
                  <w:r w:rsidRPr="00E016C8">
                    <w:t>Indikatorët</w:t>
                  </w:r>
                </w:p>
              </w:tc>
              <w:tc>
                <w:tcPr>
                  <w:tcW w:w="3120" w:type="dxa"/>
                  <w:shd w:val="clear" w:color="auto" w:fill="A6A6A6"/>
                </w:tcPr>
                <w:p w:rsidR="00F10F3C" w:rsidRPr="00E016C8" w:rsidRDefault="00F10F3C" w:rsidP="00BB5D8B">
                  <w:pPr>
                    <w:jc w:val="both"/>
                  </w:pPr>
                  <w:r w:rsidRPr="00E016C8">
                    <w:t>Mënyra e</w:t>
                  </w:r>
                  <w:r w:rsidRPr="00E016C8">
                    <w:cr/>
                    <w:t xml:space="preserve">Verifikimit </w:t>
                  </w:r>
                </w:p>
              </w:tc>
            </w:tr>
            <w:tr w:rsidR="00F10F3C" w:rsidRPr="00E016C8" w:rsidTr="00BB5D8B">
              <w:trPr>
                <w:trHeight w:val="548"/>
              </w:trPr>
              <w:tc>
                <w:tcPr>
                  <w:tcW w:w="3120" w:type="dxa"/>
                </w:tcPr>
                <w:p w:rsidR="00F10F3C" w:rsidRDefault="00F10F3C" w:rsidP="00BB5D8B">
                  <w:pPr>
                    <w:jc w:val="both"/>
                  </w:pPr>
                  <w:r w:rsidRPr="00E016C8">
                    <w:t>Rezultati 1</w:t>
                  </w:r>
                </w:p>
                <w:p w:rsidR="00290E8F" w:rsidRPr="00E016C8" w:rsidRDefault="00290E8F" w:rsidP="00BB5D8B">
                  <w:pPr>
                    <w:jc w:val="both"/>
                  </w:pPr>
                  <w:r>
                    <w:t>Ndertimi i kopeshtit</w:t>
                  </w:r>
                </w:p>
              </w:tc>
              <w:tc>
                <w:tcPr>
                  <w:tcW w:w="3120" w:type="dxa"/>
                </w:tcPr>
                <w:p w:rsidR="00F10F3C" w:rsidRPr="00E016C8" w:rsidRDefault="00F10F3C" w:rsidP="00BB5D8B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120" w:type="dxa"/>
                </w:tcPr>
                <w:p w:rsidR="00F10F3C" w:rsidRPr="00E016C8" w:rsidRDefault="00290E8F" w:rsidP="00BB5D8B">
                  <w:pPr>
                    <w:spacing w:after="0" w:line="240" w:lineRule="auto"/>
                    <w:jc w:val="both"/>
                  </w:pPr>
                  <w:r>
                    <w:t>Buxheti, Programi Buxhetor Afatmesëm, Plani Strategjik i Zhvillimit Vendor, Rregjistri prokurimeve publike, dosja e tenderit</w:t>
                  </w:r>
                </w:p>
              </w:tc>
            </w:tr>
            <w:tr w:rsidR="00F10F3C" w:rsidRPr="00E016C8" w:rsidTr="00BB5D8B">
              <w:trPr>
                <w:trHeight w:val="548"/>
              </w:trPr>
              <w:tc>
                <w:tcPr>
                  <w:tcW w:w="3120" w:type="dxa"/>
                </w:tcPr>
                <w:p w:rsidR="00290E8F" w:rsidRDefault="00F10F3C" w:rsidP="00BB5D8B">
                  <w:pPr>
                    <w:jc w:val="both"/>
                  </w:pPr>
                  <w:r w:rsidRPr="00E016C8">
                    <w:t>Rezultati 2</w:t>
                  </w:r>
                </w:p>
                <w:p w:rsidR="00290E8F" w:rsidRPr="00E016C8" w:rsidRDefault="00290E8F" w:rsidP="00BB5D8B">
                  <w:pPr>
                    <w:jc w:val="both"/>
                  </w:pPr>
                  <w:r>
                    <w:t>Ambiente komode dhe bashkekohore</w:t>
                  </w:r>
                </w:p>
              </w:tc>
              <w:tc>
                <w:tcPr>
                  <w:tcW w:w="3120" w:type="dxa"/>
                </w:tcPr>
                <w:p w:rsidR="00F10F3C" w:rsidRPr="00E016C8" w:rsidRDefault="00F10F3C" w:rsidP="00BB5D8B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120" w:type="dxa"/>
                </w:tcPr>
                <w:p w:rsidR="00F10F3C" w:rsidRPr="00E016C8" w:rsidRDefault="00290E8F" w:rsidP="00BB5D8B">
                  <w:pPr>
                    <w:spacing w:after="0" w:line="240" w:lineRule="auto"/>
                    <w:jc w:val="both"/>
                  </w:pPr>
                  <w:r>
                    <w:t>Buxheti Komunës, Zyra e Shërbimeve Publike, Plani Strategjik i Zhvillimit Vendor.</w:t>
                  </w:r>
                </w:p>
              </w:tc>
            </w:tr>
            <w:tr w:rsidR="00F10F3C" w:rsidRPr="00E016C8" w:rsidTr="00BB5D8B">
              <w:trPr>
                <w:trHeight w:val="548"/>
              </w:trPr>
              <w:tc>
                <w:tcPr>
                  <w:tcW w:w="3120" w:type="dxa"/>
                </w:tcPr>
                <w:p w:rsidR="00290E8F" w:rsidRDefault="00F10F3C" w:rsidP="00BB5D8B">
                  <w:pPr>
                    <w:jc w:val="both"/>
                  </w:pPr>
                  <w:r w:rsidRPr="00E016C8">
                    <w:t xml:space="preserve">Rezultati 3 </w:t>
                  </w:r>
                </w:p>
                <w:p w:rsidR="00290E8F" w:rsidRPr="00E016C8" w:rsidRDefault="00290E8F" w:rsidP="00BB5D8B">
                  <w:pPr>
                    <w:jc w:val="both"/>
                  </w:pPr>
                  <w:r>
                    <w:t>Femije te kenaqur nga cilesia e larte e sherbimit</w:t>
                  </w:r>
                </w:p>
              </w:tc>
              <w:tc>
                <w:tcPr>
                  <w:tcW w:w="3120" w:type="dxa"/>
                </w:tcPr>
                <w:p w:rsidR="00290E8F" w:rsidRDefault="00290E8F" w:rsidP="00290E8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>
                    <w:t xml:space="preserve"> zona së pambuluar me shërbim mbu</w:t>
                  </w:r>
                  <w:r w:rsidR="00FF0294">
                    <w:t xml:space="preserve">lohet me shërbim </w:t>
                  </w:r>
                </w:p>
                <w:p w:rsidR="00290E8F" w:rsidRDefault="00FF0294" w:rsidP="00FF029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</w:pPr>
                  <w:r>
                    <w:t>50 femije perfitojne nga sherbimi</w:t>
                  </w:r>
                </w:p>
                <w:p w:rsidR="00F10F3C" w:rsidRPr="00E016C8" w:rsidRDefault="00F10F3C" w:rsidP="00290E8F">
                  <w:pPr>
                    <w:pStyle w:val="ListParagraph"/>
                    <w:spacing w:after="0" w:line="240" w:lineRule="auto"/>
                    <w:jc w:val="both"/>
                  </w:pPr>
                </w:p>
              </w:tc>
              <w:tc>
                <w:tcPr>
                  <w:tcW w:w="3120" w:type="dxa"/>
                </w:tcPr>
                <w:p w:rsidR="00F10F3C" w:rsidRPr="00E016C8" w:rsidRDefault="00290E8F" w:rsidP="00BB5D8B">
                  <w:pPr>
                    <w:spacing w:after="0" w:line="240" w:lineRule="auto"/>
                    <w:jc w:val="both"/>
                  </w:pPr>
                  <w:r>
                    <w:t>Buxheti, Programi Buxhetor Afatmesëm</w:t>
                  </w:r>
                </w:p>
              </w:tc>
            </w:tr>
          </w:tbl>
          <w:p w:rsidR="00F10F3C" w:rsidRPr="00E016C8" w:rsidRDefault="00F10F3C" w:rsidP="00BB5D8B">
            <w:pPr>
              <w:spacing w:after="0" w:line="240" w:lineRule="auto"/>
              <w:jc w:val="both"/>
            </w:pPr>
          </w:p>
        </w:tc>
      </w:tr>
    </w:tbl>
    <w:p w:rsidR="00A34242" w:rsidRDefault="00A34242" w:rsidP="00A34242">
      <w:pPr>
        <w:pStyle w:val="ListParagraph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Aktivitetet e projektit dhe mënyra e zbatimit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F10F3C" w:rsidRPr="00E016C8" w:rsidTr="00BB5D8B">
        <w:trPr>
          <w:trHeight w:val="1547"/>
        </w:trPr>
        <w:tc>
          <w:tcPr>
            <w:tcW w:w="9576" w:type="dxa"/>
          </w:tcPr>
          <w:p w:rsidR="00F10F3C" w:rsidRPr="00E016C8" w:rsidRDefault="00F10F3C" w:rsidP="00BB5D8B">
            <w:pPr>
              <w:spacing w:after="0" w:line="240" w:lineRule="auto"/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  <w:r w:rsidRPr="00E016C8">
              <w:rPr>
                <w:b/>
              </w:rPr>
              <w:t xml:space="preserve">SHËMBULL: </w:t>
            </w:r>
          </w:p>
          <w:tbl>
            <w:tblPr>
              <w:tblW w:w="9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785"/>
              <w:gridCol w:w="990"/>
              <w:gridCol w:w="556"/>
              <w:gridCol w:w="646"/>
              <w:gridCol w:w="646"/>
              <w:gridCol w:w="646"/>
              <w:gridCol w:w="646"/>
              <w:gridCol w:w="2260"/>
            </w:tblGrid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Aktiviteti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Muaji 1</w:t>
                  </w:r>
                </w:p>
              </w:tc>
              <w:tc>
                <w:tcPr>
                  <w:tcW w:w="55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2</w:t>
                  </w: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3</w:t>
                  </w: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4</w:t>
                  </w: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5</w:t>
                  </w: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6</w:t>
                  </w: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Organi Përgjegjës </w:t>
                  </w:r>
                </w:p>
              </w:tc>
            </w:tr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Prokurimi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NJQV-ja, Komisioni i Tenderit </w:t>
                  </w:r>
                </w:p>
              </w:tc>
            </w:tr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Kontraktimi i punëve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NJQV-ja, Kryetari </w:t>
                  </w:r>
                </w:p>
              </w:tc>
            </w:tr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>Zbatimi i punëve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Kontraktuesi, supervizori </w:t>
                  </w:r>
                </w:p>
              </w:tc>
            </w:tr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Dorëzimi 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NJQV-ja, kontraktuesi, supervizori </w:t>
                  </w:r>
                </w:p>
              </w:tc>
            </w:tr>
            <w:tr w:rsidR="00F10F3C" w:rsidRPr="00E016C8" w:rsidTr="00BB5D8B">
              <w:tc>
                <w:tcPr>
                  <w:tcW w:w="2785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  <w:r w:rsidRPr="00E016C8">
                    <w:t xml:space="preserve">Etj.  </w:t>
                  </w:r>
                </w:p>
              </w:tc>
              <w:tc>
                <w:tcPr>
                  <w:tcW w:w="99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55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shd w:val="clear" w:color="auto" w:fill="7F7F7F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  <w:tc>
                <w:tcPr>
                  <w:tcW w:w="2260" w:type="dxa"/>
                </w:tcPr>
                <w:p w:rsidR="00F10F3C" w:rsidRPr="00E016C8" w:rsidRDefault="00F10F3C" w:rsidP="00BB5D8B">
                  <w:pPr>
                    <w:spacing w:after="0" w:line="240" w:lineRule="auto"/>
                  </w:pPr>
                </w:p>
              </w:tc>
            </w:tr>
          </w:tbl>
          <w:p w:rsidR="00F10F3C" w:rsidRPr="00E016C8" w:rsidRDefault="00F10F3C" w:rsidP="00BB5D8B">
            <w:pPr>
              <w:spacing w:after="0" w:line="240" w:lineRule="auto"/>
            </w:pPr>
          </w:p>
        </w:tc>
      </w:tr>
    </w:tbl>
    <w:p w:rsidR="00F10F3C" w:rsidRPr="00E016C8" w:rsidRDefault="00F10F3C" w:rsidP="00F10F3C">
      <w:pPr>
        <w:rPr>
          <w:i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Organizimi i procesit të prokurimit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1187"/>
        </w:trPr>
        <w:tc>
          <w:tcPr>
            <w:tcW w:w="9576" w:type="dxa"/>
          </w:tcPr>
          <w:p w:rsidR="00FF0294" w:rsidRPr="0032668D" w:rsidRDefault="00FF0294" w:rsidP="00FF0294">
            <w:pPr>
              <w:spacing w:after="0" w:line="240" w:lineRule="auto"/>
            </w:pPr>
            <w:r w:rsidRPr="0032668D">
              <w:t>Organizimi i procesit t</w:t>
            </w:r>
            <w:r>
              <w:t>ë</w:t>
            </w:r>
            <w:r w:rsidRPr="0032668D">
              <w:t xml:space="preserve"> prokurimit kërkon përgatitjen e dokumentacionit p</w:t>
            </w:r>
            <w:r>
              <w:t>ë</w:t>
            </w:r>
            <w:r w:rsidRPr="0032668D">
              <w:t>rkat</w:t>
            </w:r>
            <w:r>
              <w:t>ë</w:t>
            </w:r>
            <w:r w:rsidRPr="0032668D">
              <w:t>s t</w:t>
            </w:r>
            <w:r>
              <w:t>ë</w:t>
            </w:r>
            <w:r w:rsidRPr="0032668D">
              <w:t xml:space="preserve"> vlefshëm p</w:t>
            </w:r>
            <w:r>
              <w:t>ë</w:t>
            </w:r>
            <w:r w:rsidRPr="0032668D">
              <w:t>r k</w:t>
            </w:r>
            <w:r>
              <w:t>ë</w:t>
            </w:r>
            <w:r w:rsidRPr="0032668D">
              <w:t>t</w:t>
            </w:r>
            <w:r>
              <w:t>ë</w:t>
            </w:r>
            <w:r w:rsidRPr="0032668D">
              <w:t xml:space="preserve"> objekt. P</w:t>
            </w:r>
            <w:r>
              <w:t>ë</w:t>
            </w:r>
            <w:r w:rsidRPr="0032668D">
              <w:t>r t</w:t>
            </w:r>
            <w:r>
              <w:t>ë</w:t>
            </w:r>
            <w:r w:rsidRPr="0032668D">
              <w:t xml:space="preserve"> realizuar me sukses projektin jan</w:t>
            </w:r>
            <w:r>
              <w:t>ë</w:t>
            </w:r>
            <w:r w:rsidRPr="0032668D">
              <w:t xml:space="preserve"> ndjekur hapat si m</w:t>
            </w:r>
            <w:r>
              <w:t>ë</w:t>
            </w:r>
            <w:r w:rsidRPr="0032668D">
              <w:t xml:space="preserve"> posht</w:t>
            </w:r>
            <w:r>
              <w:t>ë</w:t>
            </w:r>
            <w:r w:rsidRPr="0032668D">
              <w:t>:</w:t>
            </w:r>
          </w:p>
          <w:p w:rsidR="00FF0294" w:rsidRPr="0032668D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2668D">
              <w:t>Përcaktimi zonës p</w:t>
            </w:r>
            <w:r>
              <w:t>ë</w:t>
            </w:r>
            <w:r w:rsidRPr="0032668D">
              <w:t>r ndërhyrjen e parashikuar dhe verifikimi t</w:t>
            </w:r>
            <w:r>
              <w:t>ë</w:t>
            </w:r>
            <w:r w:rsidRPr="0032668D">
              <w:t xml:space="preserve"> dhënave n</w:t>
            </w:r>
            <w:r>
              <w:t>ë</w:t>
            </w:r>
            <w:r w:rsidRPr="0032668D">
              <w:t xml:space="preserve"> terren</w:t>
            </w:r>
          </w:p>
          <w:p w:rsidR="00FF0294" w:rsidRPr="0032668D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2668D">
              <w:t>Hartimi projektit p</w:t>
            </w:r>
            <w:r>
              <w:t>ë</w:t>
            </w:r>
            <w:r w:rsidRPr="0032668D">
              <w:t>r investimin e parashikuar nga zyra e urbanistik</w:t>
            </w:r>
            <w:r>
              <w:t>ë</w:t>
            </w:r>
            <w:r w:rsidRPr="0032668D">
              <w:t>s / studio e</w:t>
            </w:r>
            <w:r>
              <w:t xml:space="preserve"> </w:t>
            </w:r>
            <w:r w:rsidRPr="0032668D">
              <w:t xml:space="preserve">licencuar </w:t>
            </w:r>
          </w:p>
          <w:p w:rsidR="00FF0294" w:rsidRPr="0032668D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2668D">
              <w:t>Evidentimi z</w:t>
            </w:r>
            <w:r>
              <w:t>ë</w:t>
            </w:r>
            <w:r w:rsidRPr="0032668D">
              <w:t>rave t</w:t>
            </w:r>
            <w:r>
              <w:t>ë</w:t>
            </w:r>
            <w:r w:rsidRPr="0032668D">
              <w:t xml:space="preserve"> punimeve dhe volumeve p</w:t>
            </w:r>
            <w:r>
              <w:t>ë</w:t>
            </w:r>
            <w:r w:rsidRPr="0032668D">
              <w:t>r çdo z</w:t>
            </w:r>
            <w:r>
              <w:t>ë</w:t>
            </w:r>
          </w:p>
          <w:p w:rsidR="00FF0294" w:rsidRPr="0032668D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2668D">
              <w:t>Hartimi i preventivit t</w:t>
            </w:r>
            <w:r>
              <w:t>ë</w:t>
            </w:r>
            <w:r w:rsidRPr="0032668D">
              <w:t xml:space="preserve"> objektit t</w:t>
            </w:r>
            <w:r>
              <w:t>ë</w:t>
            </w:r>
            <w:r w:rsidRPr="0032668D">
              <w:t xml:space="preserve"> investimit</w:t>
            </w:r>
            <w:r>
              <w:t xml:space="preserve"> dhe vlerësimi i vlerës totale të investimit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2668D">
              <w:t>Përcaktimi i fondit limit p</w:t>
            </w:r>
            <w:r>
              <w:t>ë</w:t>
            </w:r>
            <w:r w:rsidRPr="0032668D">
              <w:t>r investimin e parashikuar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Gjetja dhe sigurimi burimit të financimit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Nxjerrja e urdhrit të brendshëm të kryetarit të Komunës për komisionin e tenderimit 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Publikimi në regjistrin e prokurimeve (Agjencia e Prokurimeve Publike/APP) për llojin e investimit dhe mënyrën e prokurimit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Sigurimi i ofertës nga secili operator ekonomik pjesëmarrës në tender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Tenderimi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Shpallja e fituesit paraprak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Shpallja e fituesit dhe 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Lidhja e Kontratës me fituesit 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Zbatimi kontratës dhe zbatimi projektit</w:t>
            </w:r>
          </w:p>
          <w:p w:rsidR="00FF0294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Supervizim, Kolaudim</w:t>
            </w:r>
          </w:p>
          <w:p w:rsidR="00FF0294" w:rsidRPr="00D135F1" w:rsidRDefault="00FF0294" w:rsidP="00FF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Marrja në dorëzim</w:t>
            </w:r>
          </w:p>
          <w:p w:rsidR="00F10F3C" w:rsidRPr="00E016C8" w:rsidRDefault="00F10F3C" w:rsidP="00FF0294">
            <w:pPr>
              <w:spacing w:after="0" w:line="240" w:lineRule="auto"/>
              <w:rPr>
                <w:b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</w:p>
          <w:p w:rsidR="00F10F3C" w:rsidRPr="00E016C8" w:rsidRDefault="00F10F3C" w:rsidP="00BB5D8B">
            <w:pPr>
              <w:spacing w:after="0" w:line="240" w:lineRule="auto"/>
              <w:rPr>
                <w:b/>
              </w:rPr>
            </w:pP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Buxheti i Projektit  </w:t>
      </w:r>
      <w:r w:rsidRPr="00E016C8">
        <w:t>(maks. 2 fq.)</w:t>
      </w:r>
      <w:r w:rsidRPr="00E016C8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1853"/>
        </w:trPr>
        <w:tc>
          <w:tcPr>
            <w:tcW w:w="9576" w:type="dxa"/>
          </w:tcPr>
          <w:p w:rsidR="00F10F3C" w:rsidRPr="00E016C8" w:rsidRDefault="00F10F3C" w:rsidP="00BB5D8B">
            <w:pPr>
              <w:spacing w:after="0" w:line="240" w:lineRule="auto"/>
              <w:jc w:val="both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72"/>
              <w:gridCol w:w="4118"/>
            </w:tblGrid>
            <w:tr w:rsidR="00F10F3C" w:rsidRPr="00E016C8" w:rsidTr="00BB5D8B">
              <w:trPr>
                <w:trHeight w:val="440"/>
              </w:trPr>
              <w:tc>
                <w:tcPr>
                  <w:tcW w:w="4492" w:type="dxa"/>
                </w:tcPr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E016C8">
                    <w:rPr>
                      <w:i/>
                    </w:rPr>
                    <w:t>Kosto Totale e Projektit</w:t>
                  </w:r>
                </w:p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493" w:type="dxa"/>
                </w:tcPr>
                <w:p w:rsidR="00F10F3C" w:rsidRPr="00E016C8" w:rsidRDefault="00A34242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35 000 000</w:t>
                  </w:r>
                </w:p>
              </w:tc>
            </w:tr>
            <w:tr w:rsidR="00F10F3C" w:rsidRPr="00E016C8" w:rsidTr="00BB5D8B">
              <w:tc>
                <w:tcPr>
                  <w:tcW w:w="4492" w:type="dxa"/>
                </w:tcPr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E016C8">
                    <w:rPr>
                      <w:i/>
                    </w:rPr>
                    <w:t xml:space="preserve">Buxheti i Kërkuar nga Donatorët </w:t>
                  </w:r>
                </w:p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493" w:type="dxa"/>
                </w:tcPr>
                <w:p w:rsidR="00F10F3C" w:rsidRPr="00E016C8" w:rsidRDefault="00A34242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F10F3C" w:rsidRPr="00E016C8" w:rsidTr="00BB5D8B">
              <w:tc>
                <w:tcPr>
                  <w:tcW w:w="4492" w:type="dxa"/>
                </w:tcPr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E016C8">
                    <w:rPr>
                      <w:i/>
                    </w:rPr>
                    <w:t xml:space="preserve">Kontributi i NJQV-së në Buxhet </w:t>
                  </w:r>
                </w:p>
                <w:p w:rsidR="00F10F3C" w:rsidRPr="00E016C8" w:rsidRDefault="00F10F3C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493" w:type="dxa"/>
                </w:tcPr>
                <w:p w:rsidR="00F10F3C" w:rsidRPr="00E016C8" w:rsidRDefault="00A34242" w:rsidP="00BB5D8B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</w:tbl>
          <w:p w:rsidR="00F10F3C" w:rsidRPr="00E016C8" w:rsidRDefault="00F10F3C" w:rsidP="00BB5D8B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F10F3C" w:rsidRPr="00E016C8" w:rsidRDefault="00F10F3C" w:rsidP="00F10F3C"/>
    <w:p w:rsidR="00F10F3C" w:rsidRPr="00E016C8" w:rsidRDefault="00F10F3C" w:rsidP="00F10F3C">
      <w:pPr>
        <w:pStyle w:val="ListParagraph"/>
        <w:numPr>
          <w:ilvl w:val="0"/>
          <w:numId w:val="1"/>
        </w:numPr>
      </w:pPr>
      <w:r w:rsidRPr="00E016C8">
        <w:rPr>
          <w:b/>
        </w:rPr>
        <w:t xml:space="preserve">Parashiki i Rrezikut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935"/>
        </w:trPr>
        <w:tc>
          <w:tcPr>
            <w:tcW w:w="9576" w:type="dxa"/>
          </w:tcPr>
          <w:p w:rsidR="00D8556B" w:rsidRDefault="00F10F3C" w:rsidP="00D8556B">
            <w:pPr>
              <w:spacing w:after="0" w:line="240" w:lineRule="auto"/>
              <w:jc w:val="both"/>
            </w:pPr>
            <w:r w:rsidRPr="00E016C8">
              <w:rPr>
                <w:i/>
              </w:rPr>
              <w:t xml:space="preserve"> </w:t>
            </w:r>
            <w:r w:rsidR="00D8556B" w:rsidRPr="00FD04F5">
              <w:t>Manaxhimi i zbatimit të këtij projekti do të jetë përgjegjësi e Drejtorisë së Planifikimit Urban dhe Ndërmarrjes së Shë</w:t>
            </w:r>
            <w:r w:rsidR="00D8556B">
              <w:t>rbimeve Publike</w:t>
            </w:r>
            <w:r w:rsidR="00CE3EE3">
              <w:t xml:space="preserve"> </w:t>
            </w:r>
            <w:r w:rsidR="00D8556B" w:rsidRPr="00FD04F5">
              <w:t xml:space="preserve">në Komunë. Financimi i projekteve nga fondet konkurruese bëhet  përmes procedurave të konkurrimit. Përgatitja e projektit dhe dosjes për aplikim me të gjithë dokumentacionin e nevojshëm, argumentimi i mbështetjes së projektit në planin strategjik të zhvillimit rrit mundësinë për financim, por në një tjetër këndvështrim mungesa e financimit të tij nga fondi zhvillimit të rajoneve paraqet edhe rriskun më të lartë të mundshëm duke çuar në shtyrjen e tij në vitet që vijnë. Në aspektin manaxhues, menaxhimi projektit nga stafi i ndërmarrjes së shërbimeve kërkon akoma më shumë rritjen e kapacitetit manaxhues të ndërmarrjes nga stafi Komunës.  </w:t>
            </w:r>
          </w:p>
          <w:p w:rsidR="00F10F3C" w:rsidRPr="00E016C8" w:rsidRDefault="00F10F3C" w:rsidP="00BB5D8B">
            <w:pPr>
              <w:spacing w:after="0" w:line="240" w:lineRule="auto"/>
              <w:jc w:val="both"/>
            </w:pPr>
          </w:p>
        </w:tc>
      </w:tr>
    </w:tbl>
    <w:p w:rsidR="00F10F3C" w:rsidRPr="00E016C8" w:rsidRDefault="00F10F3C" w:rsidP="00F10F3C"/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Plani i Monitorimit dhe Vlerësimit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1043"/>
        </w:trPr>
        <w:tc>
          <w:tcPr>
            <w:tcW w:w="9576" w:type="dxa"/>
          </w:tcPr>
          <w:p w:rsidR="00CE3EE3" w:rsidRDefault="00F10F3C" w:rsidP="00CE3EE3">
            <w:pPr>
              <w:spacing w:after="0" w:line="240" w:lineRule="auto"/>
            </w:pPr>
            <w:r w:rsidRPr="00E016C8">
              <w:t xml:space="preserve"> </w:t>
            </w:r>
            <w:r w:rsidR="00CE3EE3">
              <w:t>Plani Monitorimit dhe vlerësimit do të duhet të shihet në dy aspekte:</w:t>
            </w:r>
          </w:p>
          <w:p w:rsidR="00CE3EE3" w:rsidRDefault="00CE3EE3" w:rsidP="00CE3EE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Realizimin e grafikut të punimeve sipas fazave të projektit dhe zërave të preventivit të hartuar</w:t>
            </w:r>
          </w:p>
          <w:p w:rsidR="00CE3EE3" w:rsidRDefault="00CE3EE3" w:rsidP="00CE3EE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Realizimit të produktit të synuar</w:t>
            </w:r>
          </w:p>
          <w:p w:rsidR="00CE3EE3" w:rsidRDefault="00CE3EE3" w:rsidP="00CE3EE3">
            <w:pPr>
              <w:pStyle w:val="ListParagraph"/>
              <w:spacing w:after="0" w:line="240" w:lineRule="auto"/>
            </w:pPr>
          </w:p>
          <w:p w:rsidR="00CE3EE3" w:rsidRDefault="00CE3EE3" w:rsidP="00CE3EE3">
            <w:pPr>
              <w:spacing w:after="0" w:line="240" w:lineRule="auto"/>
            </w:pPr>
            <w:r>
              <w:t xml:space="preserve">Në aspektin r realizimit të grafikut të punimeve sipas fazave të projektit, supervizori mbikëqyr çdo fazë të realizimit të projektit deri në përfundim. </w:t>
            </w:r>
          </w:p>
          <w:p w:rsidR="00CE3EE3" w:rsidRDefault="00CE3EE3" w:rsidP="00CE3EE3">
            <w:pPr>
              <w:spacing w:after="0" w:line="240" w:lineRule="auto"/>
            </w:pPr>
          </w:p>
          <w:p w:rsidR="00CE3EE3" w:rsidRDefault="00CE3EE3" w:rsidP="00CE3EE3">
            <w:pPr>
              <w:spacing w:after="0" w:line="240" w:lineRule="auto"/>
            </w:pPr>
            <w:r>
              <w:t>Në aspektin e realizimit të produktit të synuar indikatorët e monitorimit dhe vlerësimit janë:</w:t>
            </w:r>
          </w:p>
          <w:p w:rsidR="00CA4BEC" w:rsidRDefault="00CA4BEC" w:rsidP="00CA4B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Godina e kopshtit</w:t>
            </w:r>
          </w:p>
          <w:p w:rsidR="00F419DD" w:rsidRDefault="00F419DD" w:rsidP="00F419D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 Dokumentacioni i supervizorit, akti i kolaudimit, certifikata e marrjes ne dorezim;</w:t>
            </w:r>
          </w:p>
          <w:p w:rsidR="00F419DD" w:rsidRDefault="00F419DD" w:rsidP="00F419D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Kontratat e lidhura me personat e grupit te punes;</w:t>
            </w:r>
          </w:p>
          <w:p w:rsidR="00CA4BEC" w:rsidRDefault="00CA4BEC" w:rsidP="00CA4B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50 femije perfitues te sherbimit</w:t>
            </w:r>
          </w:p>
          <w:p w:rsidR="00D46ED4" w:rsidRDefault="00D46ED4" w:rsidP="00CA4B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Zona e Bushatit mbulohet me sherbimin e munguar</w:t>
            </w:r>
          </w:p>
          <w:p w:rsidR="00CE3EE3" w:rsidRDefault="00CE3EE3" w:rsidP="00CE3EE3">
            <w:pPr>
              <w:spacing w:after="0" w:line="240" w:lineRule="auto"/>
            </w:pPr>
          </w:p>
          <w:p w:rsidR="00F10F3C" w:rsidRPr="00E016C8" w:rsidRDefault="00F10F3C" w:rsidP="00BB5D8B">
            <w:pPr>
              <w:spacing w:after="0" w:line="240" w:lineRule="auto"/>
            </w:pPr>
          </w:p>
        </w:tc>
      </w:tr>
    </w:tbl>
    <w:p w:rsidR="00F10F3C" w:rsidRPr="00E016C8" w:rsidRDefault="00F10F3C" w:rsidP="00F10F3C">
      <w:pPr>
        <w:pStyle w:val="ListParagraph"/>
        <w:ind w:left="36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Qëndrueshmëria e Projektit</w:t>
      </w:r>
      <w:r w:rsidRPr="00E016C8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710"/>
        </w:trPr>
        <w:tc>
          <w:tcPr>
            <w:tcW w:w="9486" w:type="dxa"/>
          </w:tcPr>
          <w:p w:rsidR="00F10F3C" w:rsidRPr="00E016C8" w:rsidRDefault="00F10F3C" w:rsidP="00BB5D8B">
            <w:pPr>
              <w:spacing w:after="0" w:line="240" w:lineRule="auto"/>
              <w:jc w:val="both"/>
              <w:rPr>
                <w:i/>
              </w:rPr>
            </w:pPr>
            <w:r w:rsidRPr="00E016C8">
              <w:rPr>
                <w:i/>
              </w:rPr>
              <w:t xml:space="preserve"> </w:t>
            </w:r>
          </w:p>
          <w:p w:rsidR="00F10F3C" w:rsidRPr="00E016C8" w:rsidRDefault="00E71150" w:rsidP="00A34242">
            <w:pPr>
              <w:spacing w:after="0" w:line="240" w:lineRule="auto"/>
              <w:jc w:val="both"/>
              <w:rPr>
                <w:i/>
              </w:rPr>
            </w:pPr>
            <w:r>
              <w:t xml:space="preserve">Projekti synon ndertimin e nje ambienti te pershatshem per ofrimin e sherbimit edukativ per femijet e ciklit parashkollor. </w:t>
            </w:r>
            <w:r w:rsidRPr="00FD04F5">
              <w:t>Ky projekt do të administrohet nga Komuna Bushat (drejt</w:t>
            </w:r>
            <w:r>
              <w:t>oria e shërbimeve publike</w:t>
            </w:r>
            <w:r w:rsidRPr="00FD04F5">
              <w:t>) dhe përmes buxhetit të vet, Komuna do të alokojë fondet e nevojshme për financimin e shpenzimeve operative dhe të mirëmbajtjes pë</w:t>
            </w:r>
            <w:r>
              <w:t xml:space="preserve">r funksionimin e kopshtit. </w:t>
            </w:r>
            <w:r w:rsidRPr="00FD04F5">
              <w:t>Financimi i shpenzimeve operative dhe të mirëmbajtjes synon mirëmbajtjen permanente të</w:t>
            </w:r>
            <w:r>
              <w:t xml:space="preserve"> ambjenteve</w:t>
            </w:r>
            <w:r w:rsidRPr="00FD04F5">
              <w:t xml:space="preserve"> gjatë gjithë jetës së dobishme të projektit të realizuar.</w:t>
            </w:r>
          </w:p>
        </w:tc>
      </w:tr>
    </w:tbl>
    <w:p w:rsidR="00F10F3C" w:rsidRPr="00E016C8" w:rsidRDefault="00F10F3C" w:rsidP="00F10F3C">
      <w:pPr>
        <w:pStyle w:val="ListParagraph"/>
        <w:ind w:left="0"/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>Faktorë Cilësie</w:t>
      </w:r>
      <w:r w:rsidRPr="00E016C8">
        <w:rPr>
          <w:b/>
        </w:rPr>
        <w:tab/>
      </w:r>
    </w:p>
    <w:p w:rsidR="00F10F3C" w:rsidRPr="00E016C8" w:rsidRDefault="00F10F3C" w:rsidP="00F10F3C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1070"/>
        </w:trPr>
        <w:tc>
          <w:tcPr>
            <w:tcW w:w="9486" w:type="dxa"/>
          </w:tcPr>
          <w:p w:rsidR="00082548" w:rsidRPr="00D53667" w:rsidRDefault="00082548" w:rsidP="00082548">
            <w:pPr>
              <w:pStyle w:val="ListParagraph"/>
              <w:spacing w:after="0" w:line="240" w:lineRule="auto"/>
            </w:pPr>
            <w:r w:rsidRPr="00D53667">
              <w:t>Nd</w:t>
            </w:r>
            <w:r>
              <w:t>ë</w:t>
            </w:r>
            <w:r w:rsidRPr="00D53667">
              <w:t>r faktor</w:t>
            </w:r>
            <w:r>
              <w:t>ë</w:t>
            </w:r>
            <w:r w:rsidRPr="00D53667">
              <w:t>t e cil</w:t>
            </w:r>
            <w:r>
              <w:t>ë</w:t>
            </w:r>
            <w:r w:rsidRPr="00D53667">
              <w:t>sis</w:t>
            </w:r>
            <w:r>
              <w:t>ë</w:t>
            </w:r>
            <w:r w:rsidRPr="00D53667">
              <w:t xml:space="preserve"> t</w:t>
            </w:r>
            <w:r>
              <w:t>ë</w:t>
            </w:r>
            <w:r w:rsidRPr="00D53667">
              <w:t xml:space="preserve"> lidhur me k</w:t>
            </w:r>
            <w:r>
              <w:t>ë</w:t>
            </w:r>
            <w:r w:rsidRPr="00D53667">
              <w:t>t</w:t>
            </w:r>
            <w:r>
              <w:t>ë</w:t>
            </w:r>
            <w:r w:rsidRPr="00D53667">
              <w:t xml:space="preserve"> projekt do t</w:t>
            </w:r>
            <w:r>
              <w:t>ë</w:t>
            </w:r>
            <w:r w:rsidRPr="00D53667">
              <w:t xml:space="preserve"> veçonim:</w:t>
            </w:r>
          </w:p>
          <w:p w:rsidR="00F10F3C" w:rsidRPr="00AF3A51" w:rsidRDefault="00082548" w:rsidP="000825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F3A51">
              <w:t>Sigurimin e bazes materiale te nevojshme</w:t>
            </w:r>
          </w:p>
          <w:p w:rsidR="00082548" w:rsidRPr="00AF3A51" w:rsidRDefault="00082548" w:rsidP="000825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F3A51">
              <w:t>Permiresim i kushteve higjeno- sanitare</w:t>
            </w:r>
          </w:p>
          <w:p w:rsidR="00082548" w:rsidRPr="00082548" w:rsidRDefault="00082548" w:rsidP="00082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AF3A51">
              <w:t>Rritja e aksesit te familjeve te Komunes Bushat per kete sherbim</w:t>
            </w: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pPr>
        <w:pStyle w:val="ListParagraph"/>
        <w:numPr>
          <w:ilvl w:val="0"/>
          <w:numId w:val="1"/>
        </w:numPr>
        <w:rPr>
          <w:b/>
        </w:rPr>
      </w:pPr>
      <w:r w:rsidRPr="00E016C8">
        <w:rPr>
          <w:b/>
        </w:rPr>
        <w:t xml:space="preserve">Të dhëna për aplikantin/ët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6"/>
      </w:tblGrid>
      <w:tr w:rsidR="00F10F3C" w:rsidRPr="00E016C8" w:rsidTr="00BB5D8B">
        <w:trPr>
          <w:trHeight w:val="980"/>
        </w:trPr>
        <w:tc>
          <w:tcPr>
            <w:tcW w:w="9351" w:type="dxa"/>
          </w:tcPr>
          <w:p w:rsidR="00CE3EE3" w:rsidRDefault="00CE3EE3" w:rsidP="00CE3EE3">
            <w:pPr>
              <w:spacing w:after="0" w:line="240" w:lineRule="auto"/>
            </w:pPr>
            <w:r w:rsidRPr="00FD04F5">
              <w:t>Stafi Komunës i cili do të angazhohet për realizimin, administrimin dhe menaxhimin e këtij projekti janë si më poshtë:</w:t>
            </w:r>
          </w:p>
          <w:p w:rsidR="00CE3EE3" w:rsidRPr="00FD04F5" w:rsidRDefault="00CE3EE3" w:rsidP="00CE3EE3">
            <w:pPr>
              <w:spacing w:after="0" w:line="240" w:lineRule="auto"/>
            </w:pPr>
          </w:p>
          <w:p w:rsidR="00CE3EE3" w:rsidRPr="00FD04F5" w:rsidRDefault="00CE3EE3" w:rsidP="00CE3EE3">
            <w:pPr>
              <w:spacing w:after="0" w:line="240" w:lineRule="auto"/>
            </w:pPr>
            <w:r w:rsidRPr="00FD04F5">
              <w:t>Shefki Gërbeti – Zv.Kryetar i Komunës</w:t>
            </w:r>
          </w:p>
          <w:p w:rsidR="00CE3EE3" w:rsidRPr="00FD04F5" w:rsidRDefault="00CE3EE3" w:rsidP="00CE3EE3">
            <w:pPr>
              <w:spacing w:after="0" w:line="240" w:lineRule="auto"/>
            </w:pPr>
            <w:r w:rsidRPr="00FD04F5">
              <w:t xml:space="preserve">Salvador </w:t>
            </w:r>
            <w:r>
              <w:t xml:space="preserve">Gaci </w:t>
            </w:r>
            <w:r w:rsidRPr="00FD04F5">
              <w:t xml:space="preserve">– Drejtor i Drejtorisë së Planifikimit të Territorit </w:t>
            </w:r>
          </w:p>
          <w:p w:rsidR="00F10F3C" w:rsidRPr="00E016C8" w:rsidRDefault="00CE3EE3" w:rsidP="00A34242">
            <w:pPr>
              <w:spacing w:after="0" w:line="240" w:lineRule="auto"/>
              <w:rPr>
                <w:i/>
              </w:rPr>
            </w:pPr>
            <w:r w:rsidRPr="00FD04F5">
              <w:t>Albert Markola – Specialist i Drejtorisë së Planifikimit të Territorit dhe Investimeve</w:t>
            </w:r>
          </w:p>
        </w:tc>
      </w:tr>
    </w:tbl>
    <w:p w:rsidR="00F10F3C" w:rsidRPr="00E016C8" w:rsidRDefault="00F10F3C" w:rsidP="00F10F3C">
      <w:pPr>
        <w:rPr>
          <w:b/>
        </w:rPr>
      </w:pPr>
    </w:p>
    <w:p w:rsidR="00F10F3C" w:rsidRPr="00E016C8" w:rsidRDefault="00F10F3C" w:rsidP="00F10F3C">
      <w:r w:rsidRPr="00E016C8">
        <w:t xml:space="preserve">Dokumente të tjera që nevojiten: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Vendimi i Këshillit të NJQV-së që ka rezervuar në buxhetin e tij të vitit 2011 shumën e duhur për të paktën 20% të bashkëfinancimit të shumës totale të kostos së projektit.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Buxheti i projektit.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Licenca e hartuesit, hartimi teknik dhe vlerësimi i kostos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>Vendimi i Këshillit Rregullues të Territoreve që aprovon projektin (në rast investimi).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Licensa dhe leje të tjera, që mund të nevojiten përpara tenderimit të punëve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Plani për mirëmbajtje/operim për asetin, që do investohet nga projekti (në rast investimi).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Termat e referencës për ofruesin e shërbimeve (në rast se projekti është  një projekt studimi, plani ose informacioni/komunikimi).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Marrëveshje ndërmjet NJQV-ve që marrin pjesë në projekt, ku janë të përcaktuara rolet dhe përgjegjësitë e secilit partner, ku është përcaktuar aplikuesi kryesor dhe ku është rënë dakord për kontributin e secilës NJQV (në rast projektesh ndër NJQV). </w:t>
      </w:r>
    </w:p>
    <w:p w:rsidR="00F10F3C" w:rsidRPr="00E016C8" w:rsidRDefault="00F10F3C" w:rsidP="00F10F3C">
      <w:pPr>
        <w:pStyle w:val="ListParagraph"/>
        <w:numPr>
          <w:ilvl w:val="0"/>
          <w:numId w:val="2"/>
        </w:numPr>
        <w:jc w:val="both"/>
      </w:pPr>
      <w:r w:rsidRPr="00E016C8">
        <w:t xml:space="preserve">Të tjera.  </w:t>
      </w:r>
    </w:p>
    <w:p w:rsidR="00F10F3C" w:rsidRPr="00E016C8" w:rsidRDefault="00F10F3C" w:rsidP="00F10F3C">
      <w:pPr>
        <w:ind w:left="360"/>
        <w:jc w:val="right"/>
      </w:pPr>
    </w:p>
    <w:p w:rsidR="00F10F3C" w:rsidRPr="00E016C8" w:rsidRDefault="00F10F3C" w:rsidP="00F10F3C">
      <w:pPr>
        <w:ind w:left="360"/>
        <w:jc w:val="right"/>
        <w:rPr>
          <w:sz w:val="18"/>
          <w:szCs w:val="18"/>
        </w:rPr>
      </w:pPr>
      <w:r w:rsidRPr="00E016C8">
        <w:rPr>
          <w:sz w:val="18"/>
          <w:szCs w:val="18"/>
        </w:rPr>
        <w:t xml:space="preserve"> [Emri, firma e kryetarit, vula e NJQV-së]</w:t>
      </w:r>
    </w:p>
    <w:p w:rsidR="00F10F3C" w:rsidRPr="00E016C8" w:rsidRDefault="00F10F3C" w:rsidP="00F10F3C">
      <w:pPr>
        <w:rPr>
          <w:b/>
          <w:sz w:val="24"/>
          <w:szCs w:val="24"/>
        </w:rPr>
      </w:pPr>
    </w:p>
    <w:p w:rsidR="007E7944" w:rsidRDefault="007E7944"/>
    <w:sectPr w:rsidR="007E7944" w:rsidSect="005509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268"/>
    <w:multiLevelType w:val="hybridMultilevel"/>
    <w:tmpl w:val="760E5D5E"/>
    <w:lvl w:ilvl="0" w:tplc="C756BE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A2AE4"/>
    <w:multiLevelType w:val="hybridMultilevel"/>
    <w:tmpl w:val="715C7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4044"/>
    <w:multiLevelType w:val="hybridMultilevel"/>
    <w:tmpl w:val="4BBE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0B9"/>
    <w:multiLevelType w:val="multilevel"/>
    <w:tmpl w:val="BB3A3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C956754"/>
    <w:multiLevelType w:val="multilevel"/>
    <w:tmpl w:val="688A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E360DE"/>
    <w:multiLevelType w:val="hybridMultilevel"/>
    <w:tmpl w:val="D7FA2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10F3C"/>
    <w:rsid w:val="00082548"/>
    <w:rsid w:val="000B4A70"/>
    <w:rsid w:val="0012674C"/>
    <w:rsid w:val="0016231E"/>
    <w:rsid w:val="00182842"/>
    <w:rsid w:val="0018798D"/>
    <w:rsid w:val="001C7730"/>
    <w:rsid w:val="002370CE"/>
    <w:rsid w:val="00290E8F"/>
    <w:rsid w:val="002A582B"/>
    <w:rsid w:val="002E0B8C"/>
    <w:rsid w:val="003C1DA6"/>
    <w:rsid w:val="005509AD"/>
    <w:rsid w:val="00656A4D"/>
    <w:rsid w:val="006913E9"/>
    <w:rsid w:val="006B446A"/>
    <w:rsid w:val="006B5781"/>
    <w:rsid w:val="006F2F07"/>
    <w:rsid w:val="00717763"/>
    <w:rsid w:val="0077488B"/>
    <w:rsid w:val="007E7944"/>
    <w:rsid w:val="00873D2E"/>
    <w:rsid w:val="00921677"/>
    <w:rsid w:val="00982D00"/>
    <w:rsid w:val="00A0204C"/>
    <w:rsid w:val="00A34242"/>
    <w:rsid w:val="00AF3A51"/>
    <w:rsid w:val="00BE04CD"/>
    <w:rsid w:val="00BE403B"/>
    <w:rsid w:val="00CA4BEC"/>
    <w:rsid w:val="00CE3EE3"/>
    <w:rsid w:val="00CE7B5C"/>
    <w:rsid w:val="00D31C5A"/>
    <w:rsid w:val="00D46ED4"/>
    <w:rsid w:val="00D54B10"/>
    <w:rsid w:val="00D8556B"/>
    <w:rsid w:val="00E37572"/>
    <w:rsid w:val="00E71150"/>
    <w:rsid w:val="00EB657D"/>
    <w:rsid w:val="00F10F3C"/>
    <w:rsid w:val="00F419DD"/>
    <w:rsid w:val="00F579DD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C"/>
    <w:pPr>
      <w:spacing w:after="200" w:line="276" w:lineRule="auto"/>
    </w:pPr>
    <w:rPr>
      <w:rFonts w:ascii="Calibri" w:eastAsia="Calibri" w:hAnsi="Calibri" w:cs="Times New Roman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0F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0F3C"/>
    <w:rPr>
      <w:rFonts w:ascii="Calibri" w:eastAsia="Calibri" w:hAnsi="Calibri" w:cs="Times New Roman"/>
      <w:sz w:val="22"/>
      <w:szCs w:val="22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B8C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B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8C"/>
    <w:rPr>
      <w:rFonts w:ascii="Tahoma" w:eastAsia="Calibri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C"/>
    <w:pPr>
      <w:spacing w:after="200" w:line="276" w:lineRule="auto"/>
    </w:pPr>
    <w:rPr>
      <w:rFonts w:ascii="Calibri" w:eastAsia="Calibri" w:hAnsi="Calibri" w:cs="Times New Roman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0F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0F3C"/>
    <w:rPr>
      <w:rFonts w:ascii="Calibri" w:eastAsia="Calibri" w:hAnsi="Calibri" w:cs="Times New Roman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9F3D-70B2-46A1-9636-4E537BF8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Co-PLAN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gjika</dc:creator>
  <cp:keywords/>
  <dc:description/>
  <cp:lastModifiedBy>Elvin Hoxha</cp:lastModifiedBy>
  <cp:revision>7</cp:revision>
  <dcterms:created xsi:type="dcterms:W3CDTF">2013-02-28T10:16:00Z</dcterms:created>
  <dcterms:modified xsi:type="dcterms:W3CDTF">2013-03-27T13:58:00Z</dcterms:modified>
</cp:coreProperties>
</file>